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C" w:rsidRDefault="006955D3" w:rsidP="00DD592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6955D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27pt;margin-top:11.4pt;width:475.5pt;height:98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">
            <v:textbox>
              <w:txbxContent>
                <w:p w:rsidR="004C021E" w:rsidRPr="002C3E70" w:rsidRDefault="004C021E" w:rsidP="004C021E">
                  <w:pPr>
                    <w:spacing w:after="0" w:line="240" w:lineRule="auto"/>
                    <w:rPr>
                      <w:rFonts w:eastAsia="Calibri"/>
                      <w:sz w:val="28"/>
                      <w:szCs w:val="28"/>
                      <w:lang w:val="es-ES_tradnl"/>
                    </w:rPr>
                  </w:pPr>
                  <w:r w:rsidRPr="002C3E70">
                    <w:rPr>
                      <w:rFonts w:eastAsia="Calibri"/>
                      <w:sz w:val="28"/>
                      <w:szCs w:val="28"/>
                      <w:lang w:val="es-ES_tradnl"/>
                    </w:rPr>
                    <w:t>Carrera: Abogacía</w:t>
                  </w:r>
                </w:p>
                <w:p w:rsidR="004C021E" w:rsidRPr="002C3E70" w:rsidRDefault="004C021E" w:rsidP="004C021E">
                  <w:pPr>
                    <w:spacing w:after="0" w:line="240" w:lineRule="auto"/>
                    <w:rPr>
                      <w:rFonts w:eastAsia="Calibri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s-ES_tradnl"/>
                    </w:rPr>
                    <w:t>Curso: 5</w:t>
                  </w:r>
                  <w:r w:rsidRPr="002C3E70">
                    <w:rPr>
                      <w:rFonts w:eastAsia="Calibri"/>
                      <w:sz w:val="28"/>
                      <w:szCs w:val="28"/>
                      <w:lang w:val="es-ES_tradnl"/>
                    </w:rPr>
                    <w:t>º Año</w:t>
                  </w:r>
                </w:p>
                <w:p w:rsidR="004C021E" w:rsidRPr="002C3E70" w:rsidRDefault="004C021E" w:rsidP="004C021E">
                  <w:pPr>
                    <w:spacing w:after="0" w:line="240" w:lineRule="auto"/>
                    <w:rPr>
                      <w:rFonts w:eastAsia="Calibri"/>
                      <w:sz w:val="28"/>
                      <w:szCs w:val="28"/>
                      <w:lang w:val="es-ES_tradnl"/>
                    </w:rPr>
                  </w:pPr>
                  <w:r w:rsidRPr="002C3E70">
                    <w:rPr>
                      <w:rFonts w:eastAsia="Calibri"/>
                      <w:sz w:val="28"/>
                      <w:szCs w:val="28"/>
                      <w:lang w:val="es-ES_tradnl"/>
                    </w:rPr>
                    <w:t xml:space="preserve">Materia: </w:t>
                  </w:r>
                  <w:r>
                    <w:rPr>
                      <w:rFonts w:eastAsia="Calibri"/>
                      <w:sz w:val="28"/>
                      <w:szCs w:val="28"/>
                      <w:lang w:val="es-ES_tradnl"/>
                    </w:rPr>
                    <w:t>Derecho Internacional Privado</w:t>
                  </w:r>
                </w:p>
                <w:p w:rsidR="004C021E" w:rsidRPr="002C3E70" w:rsidRDefault="004C021E" w:rsidP="004C021E">
                  <w:pPr>
                    <w:spacing w:after="0" w:line="240" w:lineRule="auto"/>
                    <w:rPr>
                      <w:rFonts w:eastAsia="Calibri"/>
                      <w:sz w:val="28"/>
                      <w:szCs w:val="28"/>
                      <w:lang w:val="es-ES_tradnl"/>
                    </w:rPr>
                  </w:pPr>
                  <w:r w:rsidRPr="002C3E70">
                    <w:rPr>
                      <w:rFonts w:eastAsia="Calibri"/>
                      <w:sz w:val="28"/>
                      <w:szCs w:val="28"/>
                      <w:lang w:val="es-ES_tradnl"/>
                    </w:rPr>
                    <w:t>Profesor: Dr. Echegaray de Maussion, Carlos</w:t>
                  </w:r>
                </w:p>
                <w:p w:rsidR="004C021E" w:rsidRPr="002C3E70" w:rsidRDefault="00A665AF" w:rsidP="004C021E">
                  <w:pPr>
                    <w:spacing w:after="120" w:line="240" w:lineRule="auto"/>
                    <w:rPr>
                      <w:rFonts w:eastAsia="Calibri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s-ES_tradnl"/>
                    </w:rPr>
                    <w:t>Año: 20</w:t>
                  </w:r>
                  <w:bookmarkStart w:id="0" w:name="_GoBack"/>
                  <w:bookmarkEnd w:id="0"/>
                  <w:r w:rsidR="00F02DFE">
                    <w:rPr>
                      <w:rFonts w:eastAsia="Calibri"/>
                      <w:sz w:val="28"/>
                      <w:szCs w:val="28"/>
                      <w:lang w:val="es-ES_tradnl"/>
                    </w:rPr>
                    <w:t>20</w:t>
                  </w:r>
                </w:p>
                <w:p w:rsidR="004C021E" w:rsidRPr="002C3E70" w:rsidRDefault="004C021E" w:rsidP="004C021E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45698C" w:rsidRDefault="0045698C" w:rsidP="00DD592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4C021E" w:rsidRDefault="004C021E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4C021E" w:rsidRDefault="004C021E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4C021E" w:rsidRDefault="004C021E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4C021E" w:rsidRDefault="004C021E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4C021E" w:rsidRDefault="004C021E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4C021E" w:rsidRDefault="004C021E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292629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Módulo 1: Problemas generales del derecho internacionalprivado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  <w:t>Unidad 1: Conceptos, problemas básicos yconfiguración sistemática del derecho internacionalprivado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 Razón de ser del Derecho Internacional Privado. Larelación</w:t>
      </w:r>
      <w:r w:rsidR="0029262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jurídico privada internacional: Pluralidad y diversidad de ordenamientos jurídicos.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II. Objeto, finalidad y método del Derecho Internacional</w:t>
      </w:r>
      <w:r w:rsidR="0029262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Privado: identificación y acreditación del elemento extranjero </w:t>
      </w:r>
    </w:p>
    <w:p w:rsidR="00292629" w:rsidRPr="00DD5921" w:rsidRDefault="0029262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III. Contenido del Dere</w:t>
      </w:r>
      <w:r w:rsidR="000A3035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ho Internacional Privado: Jurisdicción internacional. Derecho aplicable. Eficacia extraterritorial de actos y decisiones extranjeras. Cooperación jurisdiccional internacional. </w:t>
      </w:r>
    </w:p>
    <w:p w:rsidR="000A3035" w:rsidRPr="00DD5921" w:rsidRDefault="000A3035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IV</w:t>
      </w:r>
      <w:r w:rsidR="0029262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Fenómenos condicionantes del Derecho Internacional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Privado actual: Influencia de los derechos humanos. Incremento de las relaciones económicas internacionales. Integración económica y política. Aumento de los movimientos internacionales de las personas. Formación de una sociedad multicultural. Desarrollo de la cooperación internacional. Auge de la autonomía de la voluntad.  </w:t>
      </w:r>
    </w:p>
    <w:p w:rsidR="00C576BE" w:rsidRPr="00DD5921" w:rsidRDefault="00110768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V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.Fuentes del Derecho Internacional Privado en general y del DerechoInternacional Privado </w:t>
      </w:r>
      <w:proofErr w:type="gramStart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argentino</w:t>
      </w:r>
      <w:proofErr w:type="gramEnd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en particular. ConstituciónNacional. Dimensión convencional universal: ONU</w:t>
      </w:r>
      <w:r w:rsidR="00C576BE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Conferenciade La Haya. Dimensión convencional regional: Tratados deMontevideo de 1889 y 1940</w:t>
      </w:r>
      <w:r w:rsidR="00C576BE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OEA: Conferencias EspecializadasInteramericanas de Derecho Internacional Privado. Dimensión institucional: MERCOSUR. Fuentes transnacionales: Concepto. Valor jurídico dela lex mercatoria. Codificación de los principios delderecho internacional: valor jurídico.</w:t>
      </w:r>
      <w:r w:rsidR="00C576BE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Dimensión autónoma.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  <w:t>Unidad 2: Aspectos generales del sector de la jurisdiccióninternacional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   Delimitación de conceptos:</w:t>
      </w:r>
      <w:r w:rsidR="00C576BE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diferencia entre jurisdicción internacional y competencia judicial interna. La naturaleza federal de la jurisdicción internacional.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II.  Regulación de la jurisdicción internacional</w:t>
      </w:r>
      <w:proofErr w:type="gramStart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:Bases</w:t>
      </w:r>
      <w:proofErr w:type="gramEnd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para la determinación de la jurisdiccióninternacional.</w:t>
      </w:r>
      <w:r w:rsidR="00C576BE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Concepto y fundamento.</w:t>
      </w:r>
    </w:p>
    <w:p w:rsidR="00AF2B54" w:rsidRPr="00DD5921" w:rsidRDefault="00C576BE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Clasificación: A) según la naturaleza de los criterios utilizados: a) foros personales; b) foros territoriales; c) foro de la autonomía de la voluntad; d) foros funcionales: paralelismo, foro de necesidad; fórum non conveniens. B) Según los valores protegidos: a) foros de protección;  b) foros neutros. C) Según el alcance de la soberanía del Estado en la determinación de la jurisdicción internacional: a) foros exclusivos; b) foros concurrentes; c) foros generales; d) foros especiales por razón de la materia; e) foros exorbitantes; f) foros razonables.  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III. </w:t>
      </w:r>
      <w:r w:rsidR="005358CA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Clases de jurisdicción: Jurisdicción directa e indirecta. Criterios para la valoración de la jurisdicción indirecta. </w:t>
      </w:r>
    </w:p>
    <w:p w:rsidR="006F5339" w:rsidRDefault="005358CA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IV. I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nmunidad de jurisdicción yejecución del Estado extranjero y organismosinternacionales.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Fundamento de la inmunidad de jurisdicción. Tesis amplia o de la inmunidad absoluta y teoría moderna o diferencial. Legislación argentina. Excepciones a la inmunidad de jurisdicción. Inmunidad de ejecución de la sentencia dictada contra un Estado extranjero.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V. Arbitraje comercial internacional: Concepto, características y clases. Su recepción en la fuente convencional, institucional, transnacional y autónoma.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</w:p>
    <w:p w:rsidR="001D316D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3: Aspectos generales del sector del derechoaplicable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    El pluralismo de métodos: Elmétodo indirecto o de atribución.</w:t>
      </w:r>
      <w:r w:rsidR="001D316D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Método material. </w:t>
      </w:r>
    </w:p>
    <w:p w:rsidR="001D316D" w:rsidRPr="00DD5921" w:rsidRDefault="001D316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II. Las normas del Derecho Internacional Privado: Norma de conflicto (indirecta) norma material (directa) y norma de policía (de aplicación inmediata). Características. </w:t>
      </w:r>
    </w:p>
    <w:p w:rsidR="001D316D" w:rsidRPr="00DD5921" w:rsidRDefault="0006115F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III. </w:t>
      </w:r>
      <w:r w:rsidR="001D316D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La norma de conflicto: concepto y elementos fundamentales. Estructura: a) supuesto de hecho o tipo legal; b) punto de conexión; c) consecuencia jurídica. La conexión y el punto de conexión: a) concepto; b) criterios utilizados; c) clasificación.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Clasificación de las normas indirectas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según: a) su procedencia; b) el supuesto de hecho o tipo legal; c) la consecuencia jurídica; d) el punto de conexión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834024" w:rsidRPr="00DD5921" w:rsidRDefault="00834024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06115F" w:rsidRPr="00DD5921" w:rsidRDefault="0006115F" w:rsidP="004C021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Unidad 4: Problemas de aplicación de la norma de conflicto</w:t>
      </w:r>
    </w:p>
    <w:p w:rsidR="00834024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I.   El problema de las calificaciones. Historia.Soluciones. Calificación por la </w:t>
      </w:r>
      <w:r w:rsidR="0006115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ex </w:t>
      </w:r>
      <w:r w:rsidR="0006115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civilis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fori y la lex </w:t>
      </w:r>
      <w:r w:rsidR="0006115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civilis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causae.Calificaciones autónomas.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II. Cuestión previa. Noción yejemplos. Soluciones: teorías.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</w:t>
      </w:r>
      <w:r w:rsidR="0006115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 Fraude a la ley. Noción y naturaleza.Condiciones para la aplicación del fraude a la ley</w:t>
      </w:r>
      <w:r w:rsidR="0006115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elementos constitutivos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Efectosdel fraude a la ley.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06115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V.  El problema del Reenvío. Concepto. Condiciones para quese produzca el reenvío. Clases. Soluciones.</w:t>
      </w:r>
      <w:r w:rsidR="00432752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Remisión de la norma de conflicto al derecho de un Estado en el que existen varios sistemas legislativos (sistemas plurilegislativos).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V</w:t>
      </w:r>
      <w:r w:rsidR="00C911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orden público internacional: concepto y caracteres.El orden público en el Derecho Internacional Privado.Aplicación de la excepción de orden público.Efectos del orden público.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VI. Técnicas de reglamentación directas. Las normasmateriales en el DIPr: Normas materiales especiales.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VII. Normas de aplicación inmediata: Noción yejemplos. </w:t>
      </w:r>
    </w:p>
    <w:p w:rsidR="004C021E" w:rsidRDefault="00176C69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DIMENSION CONVENCIONAL, INSTITUCIONAL Y AUTONOMA. RECEPCION JURISPRUDENCIAL.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</w:p>
    <w:p w:rsidR="00DD3776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Módulo 2: Derecho procesal internacional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  <w:t xml:space="preserve">Unidad </w:t>
      </w:r>
      <w:r w:rsidR="00DD3776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5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Aspectos generales del sector del derecho procesal civilinternacional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I. Derecho aplicable al proceso: problemas de extranjeríaprocesal. La regla lex fori regit processum. </w:t>
      </w:r>
      <w:r w:rsidR="00DD3776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Delimitación de materias incluidas y excluidas de la regla lex fori regit processum: Capacidad. Legitimación procesal. Representación procesal. La prueba: objeto de la prueba, carga de la prueba, presunciones legales, admisibilidad de los medios de prueba y fuerza probatoria.</w:t>
      </w:r>
    </w:p>
    <w:p w:rsidR="00DD3776" w:rsidRPr="00DD5921" w:rsidRDefault="00DD3776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 xml:space="preserve">II. Condición procesal del litigante extranjero: El acceso a la justicia como derecho humano y constitucional.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El beneficio dejusticia gratuita. Concepto y régimen convencional.Caución por arraigo en juicio. Concepto y régimenconvencional. </w:t>
      </w:r>
    </w:p>
    <w:p w:rsidR="005E258D" w:rsidRPr="00DD5921" w:rsidRDefault="00DD3776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II. Problemas procesales de la aplicación del derechoextranjero.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Alegación y prueba del derecho extranjero.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Aplicación de oficio y teoría del hechonotorio. Los medios de prueba del derecho extranjero. 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</w:p>
    <w:p w:rsidR="00C60D9A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</w:t>
      </w:r>
      <w:r w:rsidR="00DD3776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6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Cooperación jurisdiccionalinternacional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I. </w:t>
      </w:r>
      <w:r w:rsidR="00DD3776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Concepto y objeto de la cooperación. Fundamentos.</w:t>
      </w:r>
      <w:r w:rsidR="00C60D9A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Asistencia procesal internacional.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Niveles o grados de cooperación.</w:t>
      </w:r>
    </w:p>
    <w:p w:rsidR="006F5339" w:rsidRDefault="00C60D9A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II.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La cooperación de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mero trámite: Notificaciones de actos judiciales en el extranjero. Recepción y obtención de pruebas en el extranjero. Información del derecho extranjero. El exhorto: requisitos formales, procesales y sustanciales. Las vías de transmisión de los exhortos. La autonomía del acto cooperativo.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La cooperación cautelar internacional.</w:t>
      </w:r>
    </w:p>
    <w:p w:rsidR="005E258D" w:rsidRPr="00DD5921" w:rsidRDefault="00C60D9A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III.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Reconocimiento de decisiones y documentos de autoridades deotros Estados.Efectos extraterritoriales de las decisiones judiciales.Condiciones del reconocimiento. Abstención de larevisión del fondo de la decisión extranjera.Excepciones: respeto de las garantías procesales, nocontradicción con el orden público del Estadorequerido y control de la ley aplicada. Exequatur: requisitosformales, procesales y sustanciales.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</w:t>
      </w:r>
      <w:r w:rsidR="00C20457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ó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dulo 3: Derecho civil internacional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  <w:t xml:space="preserve">Unidad </w:t>
      </w:r>
      <w:r w:rsidR="00C20457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7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Personas humanas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I.El domicilio</w:t>
      </w:r>
      <w:r w:rsidR="00C2045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 residencia habitual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su concepto en el Derecho Internacional Privado ydistinción con el concepto de domicilio del derecho privado.Derecho aplicable a las personas humanas</w:t>
      </w:r>
      <w:r w:rsidR="00C2045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Estado, capacidad dehecho y de derecho e incapacidad. Cambio de domicilio y suinfluencia en la capacidad. Nombre de las personas humanas. Ausencia y presunción de fallecimiento</w:t>
      </w:r>
      <w:r w:rsidR="00C2045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</w:p>
    <w:p w:rsidR="00C20457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</w:t>
      </w:r>
      <w:r w:rsidR="00C20457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8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Personas jurídicas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 Problemática de la ley personal de las personasjurídicas. Reconocimiento y funcionamiento de las personasjurídicas extranjeras. Sistema de la territorialidad</w:t>
      </w:r>
      <w:proofErr w:type="gramStart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,extraterritorialidad</w:t>
      </w:r>
      <w:proofErr w:type="gramEnd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 extraterritorialidad parcial. Personasjurídicas de carácter público. Personas jurídicas de carácter privado. </w:t>
      </w:r>
    </w:p>
    <w:p w:rsidR="005E258D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II.Las sociedades comerciales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Sociedades comerciales. Actividad internacional de las sociedadescomerciales. Reconocimiento de la personalidad jurídica.</w:t>
      </w:r>
      <w:r w:rsidR="00C2045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Capacidad de actuación en la República.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Derecho de establecimiento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principal: el problema del traslado dela sede social. Derecho de establecimiento secundario: apertura de</w:t>
      </w:r>
      <w:r w:rsidR="00C2045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 f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iliales y sucursales. </w:t>
      </w:r>
    </w:p>
    <w:p w:rsidR="009806F7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</w:t>
      </w:r>
      <w:r w:rsidR="00DA6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9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Protección de menores e incapaces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I. Responsabilidad parental. Tutela y otras instituciones de guardade los menores. Situaciones de urgencia y provisionalidad.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II. Sustracción, restitución y tráficointernacional de menores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Aspectos generales: Introducción. Descripción de lassituaciones problemáticas. Alcance de las obligaciones delo</w:t>
      </w:r>
      <w:r w:rsidR="008817FA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calizar y restituir.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Aspectos penales y civiles del tráfico internacional demenores: Convención interamericana sobre tráficointernacional de menores (México, 1994).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III. Filiación: Aspectos generales de la filiación.Establecimiento de la filiación por naturaleza. Establecimiento de la filiación adoptiva: Problemas dela adopción internacional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a) jurisdicción internacional y derecho aplicable; b) reconocimiento de una adopción internacional en la República; c) conversión de la adopción otorgada en el extranjero.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</w:p>
    <w:p w:rsidR="009806F7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</w:t>
      </w:r>
      <w:r w:rsidR="00DA6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10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Matrimonio, divorcio y alimentos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I. 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Derecho aplicable a la v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alidez e invalidez del matrimonio: Consentimiento yrequisitos de la capacidad matrimonial. Forma y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rueba. Matrimonio a distancia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 Matrimonios consulares y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iplomáticos. Efectos personales del matrimonio y efectospatrimoniales: derecho aplicable.</w:t>
      </w:r>
    </w:p>
    <w:p w:rsidR="005E258D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II. Atenuación o disolución del vínculomatrimonial. Inexistencia y nul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idad del matrimonio.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III.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Uni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ón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convivencial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Jurisdicción internacional y derecho aplicable. Efectos personales y patrimoniales de la unión convivencial.  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 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V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 Las obligaciones de alimentos en el Derecho InternacionalP</w:t>
      </w:r>
      <w:r w:rsidR="009806F7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ivado: la cuestión de su autonomía. Las obligacionesde alimentos y la cooperación internacional. </w:t>
      </w:r>
    </w:p>
    <w:p w:rsidR="00DF1DAF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1</w:t>
      </w:r>
      <w:r w:rsidR="00DF1DAF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1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Bienes y sucesión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I. </w:t>
      </w:r>
      <w:r w:rsidR="00DF1DA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Calificación de los bienes: Jurisdicción internacional: a) acciones reales sobre inmuebles; b) acciones reales sobre bienes registrables; c) acciones reales sobre bienes no registrables.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Fundamento y alcance dela regla lex rei sitae. Alcance de la regla forum rei sitae. </w:t>
      </w:r>
    </w:p>
    <w:p w:rsidR="00DF1DAF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II.</w:t>
      </w:r>
      <w:r w:rsidR="00DF1DAF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Derecho aplicable: a) derechos reales sobre inmuebles</w:t>
      </w:r>
      <w:r w:rsidR="003756F1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; b) derechos reales sobre bienes registrables; c) derechos reales sobre bienes de situación permanente y de los que carecen de situación permanente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</w:p>
    <w:p w:rsidR="005E258D" w:rsidRPr="00DD5921" w:rsidRDefault="00954F84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I. Transmisión de derechos a título universal</w:t>
      </w:r>
      <w:proofErr w:type="gramStart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:Sucesión</w:t>
      </w:r>
      <w:proofErr w:type="gramEnd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hereditaria: Alcance de la antinomia unidad vs.pluralidad de la sucesión. Jurisdicción.Reglamentación de las sucesiones. Capacidad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para testar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 Forma deltestamento. Testamento consular. Herencia vacante.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DIMENSION CONVENCIONAL, INSTITUCIONAL Y AUTONOMA. RECEPCION JURISPRUDENCIAL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</w:t>
      </w:r>
      <w:r w:rsidR="003738B3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ó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dulo 4: Derecho comercial internacional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  <w:t>Unidad 1</w:t>
      </w:r>
      <w:r w:rsidR="003738B3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2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Noción de negocios internacionales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    Derecho del comercio internacional: Concepto yfunciones. Relaciones entre el derecho de los negociosinternacionales y la economía mundial. Los rasgoscaracterísticos del Derecho del comercio internacional.</w:t>
      </w:r>
    </w:p>
    <w:p w:rsidR="003738B3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     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1</w:t>
      </w:r>
      <w:r w:rsidR="003738B3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3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Fuente de las obligaciones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 xml:space="preserve">I. Forma de los actos jurídicos: Regla locus regit actum.Soluciones. </w:t>
      </w:r>
    </w:p>
    <w:p w:rsidR="005E258D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II. Obligaciones contractuales: aspectos generales</w:t>
      </w:r>
      <w:proofErr w:type="gramStart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:Regulación</w:t>
      </w:r>
      <w:proofErr w:type="gramEnd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jurídica en materia de derecho aplicable yjurisdicción. Autonomía de la voluntad de loscontratantes vs. </w:t>
      </w:r>
      <w:proofErr w:type="gramStart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normas</w:t>
      </w:r>
      <w:proofErr w:type="gramEnd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imperativas. Autonomía en laelección del Derecho aplicable: Autonomía conflictual</w:t>
      </w:r>
      <w:r w:rsidR="003738B3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 autonomía material: a) elección o creación del derecho aplicable; b) límites; c) reglas para la interpretación de la voluntad de la</w:t>
      </w:r>
      <w:r w:rsidR="006F5339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 partes; d) materias exclui</w:t>
      </w:r>
      <w:r w:rsidR="003738B3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das. Derecho aplicable en defecto de la elección de las partes. Cláusulas de excepción.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Dimensión autónoma. Dimensión convencional americana: Tratados deMontevideo y Convención interamericana sobre derechoaplicable a la contratación internacional (México</w:t>
      </w:r>
      <w:proofErr w:type="gramStart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,1994</w:t>
      </w:r>
      <w:proofErr w:type="gramEnd"/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). INCOTERMS.</w:t>
      </w:r>
    </w:p>
    <w:p w:rsidR="003738B3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3738B3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14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La compraventa internacional demercaderías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  </w:t>
      </w:r>
      <w:r w:rsidR="003738B3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Análisis de la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Convenciónde Viena sobrecontratos de compraventa internacional de </w:t>
      </w:r>
      <w:proofErr w:type="gramStart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mercaderías(</w:t>
      </w:r>
      <w:proofErr w:type="gramEnd"/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1980)</w:t>
      </w:r>
      <w:r w:rsidR="003738B3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; a) ámbitos de aplicación material, espacial y temporal; b) caracteres; c) admisibilidad de la autonomía de la voluntad; d) principios de interpretación de la Convención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</w:p>
    <w:p w:rsidR="003738B3" w:rsidRPr="00DD5921" w:rsidRDefault="003738B3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Contratos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 consumo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 Contratos celebrados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or los consumidores. 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Caracteres. Jurisdicción y derecho aplicable. 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</w:p>
    <w:p w:rsidR="003738B3" w:rsidRPr="00DD5921" w:rsidRDefault="003738B3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C70506" w:rsidRPr="00DD5921" w:rsidRDefault="003738B3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nidad 1</w:t>
      </w:r>
      <w:r w:rsidR="00415EAB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5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: </w:t>
      </w:r>
      <w:r w:rsidR="00C70506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Responsabilidad civil. 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Obligaciones extra-contractuales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C70506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I. Nociones generales de responsabilidad civil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</w:t>
      </w:r>
      <w:r w:rsidR="00C70506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Heterogeneidad de las situaciones. </w:t>
      </w:r>
    </w:p>
    <w:p w:rsidR="00C70506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II. Fuentes de reglamentación. El lugar de produccióndel hecho como determinante en materia de jurisdiccióninternacional y de derecho aplicable. Accidentesde tránsito y daño ambiental.</w:t>
      </w:r>
    </w:p>
    <w:p w:rsidR="005E258D" w:rsidRPr="00DD5921" w:rsidRDefault="00415EAB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III. </w:t>
      </w:r>
      <w:r w:rsidR="00C70506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Protocolo de San Luis en materia de responsabilidad civil emergente de accidentes de tránsito entre los Estados partes del Mercosur, 1997. </w:t>
      </w:r>
    </w:p>
    <w:p w:rsidR="00415EAB" w:rsidRPr="00DD5921" w:rsidRDefault="005E258D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1</w:t>
      </w:r>
      <w:r w:rsidR="00415EAB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6</w:t>
      </w:r>
      <w:r w:rsidR="00796799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</w:t>
      </w:r>
      <w:r w:rsidR="00415EAB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Títulos valores</w:t>
      </w:r>
    </w:p>
    <w:p w:rsidR="005E258D" w:rsidRPr="00DD5921" w:rsidRDefault="00415EAB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I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. 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Concepto y caracteres. </w:t>
      </w:r>
      <w:r w:rsidR="00796799"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Pago de las obligaciones pecuniarias y ley del lugar deejecución. Medios de pago autorizados. Problemas deley aplicable. Letras de cambio, pagaré y facturas.Crédito documentario. 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</w:p>
    <w:p w:rsidR="00796799" w:rsidRPr="00DD5921" w:rsidRDefault="00796799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Unidad 1</w:t>
      </w:r>
      <w:r w:rsidR="00415EAB"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7</w:t>
      </w:r>
      <w:r w:rsidRPr="00DD592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 Concursos y quiebras</w:t>
      </w: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  <w:t>I. Internacionalidad de la quiebra. Eficacia extraterritorial de laquiebra. Pluralidad de masas y preferencias locales. Ley aplicablea la quiebra y a los concursos. Efectos en el país de ladeclaración de concurso o quiebra en el extranjero.Acreedores locales y extranjeros. Verificación de acreedoresextranjeros en concurso en trámite en Argentina.Preferencias nacionales. Reciprocidad. Paridad de los dividendos.</w:t>
      </w:r>
    </w:p>
    <w:p w:rsidR="005E258D" w:rsidRPr="00DD5921" w:rsidRDefault="005E258D" w:rsidP="004C021E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DD592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DIMENSION CONVENCIONAL, INSTITUCIONAL Y AUTONOMA. RECEPCION JURISPRUDENCIAL</w:t>
      </w:r>
    </w:p>
    <w:p w:rsidR="00796799" w:rsidRPr="00DD5921" w:rsidRDefault="00796799" w:rsidP="004C021E">
      <w:pPr>
        <w:spacing w:after="0" w:line="36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E41602" w:rsidRDefault="00E41602" w:rsidP="004C021E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1602" w:rsidRDefault="00E41602" w:rsidP="004C021E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BIBLIOGRAFIA</w:t>
      </w:r>
    </w:p>
    <w:p w:rsidR="00E41602" w:rsidRDefault="00E41602" w:rsidP="004C021E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Material básico:</w:t>
      </w:r>
    </w:p>
    <w:p w:rsidR="00E41602" w:rsidRDefault="00E41602" w:rsidP="004C021E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Dreyzin de Klor, Adriana. Derecho Internacional Privado actual. Zavalía, Buenos Aires, 2015. </w:t>
      </w:r>
    </w:p>
    <w:p w:rsidR="00E41602" w:rsidRDefault="00E41602" w:rsidP="004C021E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Código Civil y Comercial de la Nación</w:t>
      </w:r>
    </w:p>
    <w:p w:rsidR="00E41602" w:rsidRDefault="00E41602" w:rsidP="004C021E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Convenciones de la Haya                   </w:t>
      </w:r>
      <w:hyperlink r:id="rId5" w:history="1">
        <w:r>
          <w:rPr>
            <w:rStyle w:val="Hipervnculo"/>
            <w:rFonts w:cs="Arial"/>
            <w:sz w:val="20"/>
            <w:szCs w:val="20"/>
          </w:rPr>
          <w:t>www.hcch.net</w:t>
        </w:r>
      </w:hyperlink>
    </w:p>
    <w:p w:rsidR="00E41602" w:rsidRDefault="00E41602" w:rsidP="004C021E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CIDIP                        </w:t>
      </w:r>
      <w:hyperlink r:id="rId6" w:history="1">
        <w:r>
          <w:rPr>
            <w:rStyle w:val="Hipervnculo"/>
            <w:rFonts w:cs="Arial"/>
            <w:sz w:val="20"/>
            <w:szCs w:val="20"/>
          </w:rPr>
          <w:t>www.oas.org</w:t>
        </w:r>
      </w:hyperlink>
    </w:p>
    <w:p w:rsidR="00E41602" w:rsidRDefault="00E41602" w:rsidP="004C021E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Tratados de Montevideo 1889 y 1940</w:t>
      </w: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1" w:name="Heading9"/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t>Material complementario:</w:t>
      </w: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BOGGIANO, Antonio. Derecho internacional privado en la estructura jurídica del mundo. Abeledo Perrot, Buenos Aires. 2011.</w:t>
      </w:r>
    </w:p>
    <w:p w:rsidR="00E41602" w:rsidRDefault="00E41602" w:rsidP="004C021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CALVO CARAVACA, A. y CARRASCOSA GONZÁLEZ, J. </w:t>
      </w:r>
      <w:r>
        <w:rPr>
          <w:rFonts w:ascii="Arial" w:hAnsi="Arial" w:cs="Arial"/>
          <w:iCs/>
          <w:color w:val="000000"/>
          <w:sz w:val="20"/>
          <w:szCs w:val="20"/>
        </w:rPr>
        <w:t>Derecho Internacional Privado, vol. I y II, 14 edic</w:t>
      </w:r>
      <w:r w:rsidR="004C021E">
        <w:rPr>
          <w:rFonts w:ascii="Arial" w:hAnsi="Arial" w:cs="Arial"/>
          <w:color w:val="000000"/>
          <w:sz w:val="20"/>
          <w:szCs w:val="20"/>
        </w:rPr>
        <w:t xml:space="preserve">. Comares, Granada, 2013. </w:t>
      </w:r>
    </w:p>
    <w:p w:rsidR="004C021E" w:rsidRDefault="004C021E" w:rsidP="004C021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41602" w:rsidRDefault="00E41602" w:rsidP="004C021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DREYZIN de KLOR, Adriana. </w:t>
      </w:r>
      <w:r>
        <w:rPr>
          <w:rFonts w:ascii="Arial" w:hAnsi="Arial" w:cs="Arial"/>
          <w:iCs/>
          <w:color w:val="000000"/>
          <w:sz w:val="20"/>
          <w:szCs w:val="20"/>
        </w:rPr>
        <w:t>El Mercosur: Generador de una Nueva Fuente de Derecho Internacional Privado</w:t>
      </w:r>
      <w:r>
        <w:rPr>
          <w:rFonts w:ascii="Arial" w:hAnsi="Arial" w:cs="Arial"/>
          <w:color w:val="000000"/>
          <w:sz w:val="20"/>
          <w:szCs w:val="20"/>
        </w:rPr>
        <w:t>. Zavalía. Buenos Aires. 1997.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DREYZIN de KLOR, Adriana (coord.). </w:t>
      </w:r>
      <w:r>
        <w:rPr>
          <w:rFonts w:ascii="Arial" w:hAnsi="Arial" w:cs="Arial"/>
          <w:iCs/>
          <w:color w:val="000000"/>
          <w:sz w:val="20"/>
          <w:szCs w:val="20"/>
        </w:rPr>
        <w:t>Temas de Derecho. Integración. Derecho Internacional Privado</w:t>
      </w:r>
      <w:r>
        <w:rPr>
          <w:rFonts w:ascii="Arial" w:hAnsi="Arial" w:cs="Arial"/>
          <w:color w:val="000000"/>
          <w:sz w:val="20"/>
          <w:szCs w:val="20"/>
        </w:rPr>
        <w:t xml:space="preserve">. Advocatus. Córdoba. 1998.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DREYZIN de KLOR, Adriana. “Los principales desarrollos dentro del Derecho Internacional Privado en el próximo siglo en Argentina”. En: REVISTA MEXICANA DE DERECHO INTERNACIONAL PRIVADO. México D.F. Número Especial 2000. Academia Mexicana de Derecho Internacional Privado y Comparado. 2000.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DREYZIN de KLOR, Adriana y SARACHO CORNET, Teresita. </w:t>
      </w:r>
      <w:r>
        <w:rPr>
          <w:rFonts w:ascii="Arial" w:hAnsi="Arial" w:cs="Arial"/>
          <w:iCs/>
          <w:color w:val="000000"/>
          <w:sz w:val="20"/>
          <w:szCs w:val="20"/>
        </w:rPr>
        <w:t>Derecho Internacional Privado. Una visión actualizada de las fuentes</w:t>
      </w:r>
      <w:r>
        <w:rPr>
          <w:rFonts w:ascii="Arial" w:hAnsi="Arial" w:cs="Arial"/>
          <w:color w:val="000000"/>
          <w:sz w:val="20"/>
          <w:szCs w:val="20"/>
        </w:rPr>
        <w:t xml:space="preserve">. Córdoba. Advocatus. 2003. </w:t>
      </w:r>
    </w:p>
    <w:p w:rsidR="00E41602" w:rsidRDefault="00E41602" w:rsidP="004C021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DREYZIN DE KLOR, Adriana y SARACHO CORNET, Teresita. Trámites judiciales internacionales. Zavalía, Buenos Aires. 2006,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DREYZIN de KLOR, A. y URIONDO DE MARTINOLI. </w:t>
      </w:r>
      <w:r>
        <w:rPr>
          <w:rFonts w:ascii="Arial" w:hAnsi="Arial" w:cs="Arial"/>
          <w:iCs/>
          <w:color w:val="000000"/>
          <w:sz w:val="20"/>
          <w:szCs w:val="20"/>
        </w:rPr>
        <w:t>Textos Fundamentales de Derecho Internacional Privado</w:t>
      </w:r>
      <w:r>
        <w:rPr>
          <w:rFonts w:ascii="Arial" w:hAnsi="Arial" w:cs="Arial"/>
          <w:color w:val="000000"/>
          <w:sz w:val="20"/>
          <w:szCs w:val="20"/>
        </w:rPr>
        <w:t>. Buenos Aires. Zavalía. 2001.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ECHEGARAY de MAUSSION, CARLOS. </w:t>
      </w:r>
      <w:r>
        <w:rPr>
          <w:rFonts w:ascii="Arial" w:hAnsi="Arial" w:cs="Arial"/>
          <w:iCs/>
          <w:color w:val="000000"/>
          <w:sz w:val="20"/>
          <w:szCs w:val="20"/>
        </w:rPr>
        <w:t>Las conferencias interamericanas especializadas en Derecho Internacional Privado</w:t>
      </w:r>
      <w:r>
        <w:rPr>
          <w:rFonts w:ascii="Arial" w:hAnsi="Arial" w:cs="Arial"/>
          <w:color w:val="000000"/>
          <w:sz w:val="20"/>
          <w:szCs w:val="20"/>
        </w:rPr>
        <w:t xml:space="preserve">. Córdoba. Ed. Alveroni. 2° edición.  2003. </w:t>
      </w: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C021E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 xml:space="preserve">ECHEGARAY de MAUSSION, CARLOS. </w:t>
      </w:r>
      <w:r w:rsidRPr="004C021E">
        <w:rPr>
          <w:rFonts w:ascii="Helvetica" w:hAnsi="Helvetica" w:cs="Helvetica"/>
          <w:sz w:val="21"/>
          <w:szCs w:val="21"/>
          <w:shd w:val="clear" w:color="auto" w:fill="FFFFFF"/>
        </w:rPr>
        <w:t xml:space="preserve">Los principios y disposiciones generales en materia de contratos internacionales en el proyecto de reforma al Código Civil y Comercial”, </w:t>
      </w:r>
      <w:r>
        <w:rPr>
          <w:rFonts w:ascii="Arial" w:hAnsi="Arial" w:cs="Arial"/>
          <w:color w:val="000000"/>
          <w:sz w:val="20"/>
          <w:szCs w:val="20"/>
        </w:rPr>
        <w:t xml:space="preserve">Revista de Derecho Privado de la Universidad Blas Pascal, Vol. 1, año 2013. </w:t>
      </w:r>
    </w:p>
    <w:p w:rsidR="00E41602" w:rsidRDefault="00E41602" w:rsidP="004C021E">
      <w:pPr>
        <w:spacing w:after="0" w:line="360" w:lineRule="auto"/>
        <w:rPr>
          <w:rFonts w:ascii="Helvetica" w:hAnsi="Helvetica" w:cs="Helvetica"/>
          <w:color w:val="434343"/>
          <w:sz w:val="21"/>
          <w:szCs w:val="21"/>
          <w:shd w:val="clear" w:color="auto" w:fill="FFFFFF"/>
        </w:rPr>
      </w:pP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ECHEGARAY de MAUSSION, CARLOS. LUCERO, MYRIAM D. Normas procesales de derecho internacional privado en el Código Civil y Comercial de la Nación. Revista de Derecho Privado de la Universidad Blas Pascal, Vol. 2, año 2015. </w:t>
      </w: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FELDSTEIN DE CÁRDENAS, Sara. </w:t>
      </w:r>
      <w:r>
        <w:rPr>
          <w:rFonts w:ascii="Arial" w:hAnsi="Arial" w:cs="Arial"/>
          <w:iCs/>
          <w:color w:val="000000"/>
          <w:sz w:val="20"/>
          <w:szCs w:val="20"/>
        </w:rPr>
        <w:t>Derecho Internacional Privado. Parte especial</w:t>
      </w:r>
      <w:r>
        <w:rPr>
          <w:rFonts w:ascii="Arial" w:hAnsi="Arial" w:cs="Arial"/>
          <w:color w:val="000000"/>
          <w:sz w:val="20"/>
          <w:szCs w:val="20"/>
        </w:rPr>
        <w:t>. Universidad. Buenos Aires. 2000.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FERNÁNDEZ ROSAS, José C. y SÁNCHEZ LORENZO, Sixto. </w:t>
      </w:r>
      <w:r>
        <w:rPr>
          <w:rFonts w:ascii="Arial" w:hAnsi="Arial" w:cs="Arial"/>
          <w:iCs/>
          <w:color w:val="000000"/>
          <w:sz w:val="20"/>
          <w:szCs w:val="20"/>
        </w:rPr>
        <w:t>Derecho Internacional Privado</w:t>
      </w:r>
      <w:r>
        <w:rPr>
          <w:rFonts w:ascii="Arial" w:hAnsi="Arial" w:cs="Arial"/>
          <w:color w:val="000000"/>
          <w:sz w:val="20"/>
          <w:szCs w:val="20"/>
        </w:rPr>
        <w:t>. 6º edic. Civitas/Thomson Reuters, Pamplona, 2011.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GOLDSCHMIDT, Werner. </w:t>
      </w:r>
      <w:r>
        <w:rPr>
          <w:rFonts w:ascii="Arial" w:hAnsi="Arial" w:cs="Arial"/>
          <w:iCs/>
          <w:color w:val="000000"/>
          <w:sz w:val="20"/>
          <w:szCs w:val="20"/>
        </w:rPr>
        <w:t>Derecho Internacional Privado. Derecho de la Tolerancia</w:t>
      </w:r>
      <w:r>
        <w:rPr>
          <w:rFonts w:ascii="Arial" w:hAnsi="Arial" w:cs="Arial"/>
          <w:color w:val="000000"/>
          <w:sz w:val="20"/>
          <w:szCs w:val="20"/>
        </w:rPr>
        <w:t xml:space="preserve">. Basado en la teoría trialista del mundo jurídico, 10º edic. Actualizada por Alicia Perugini Zanetti. Abeledo Perrot, Buenos Aires/Bogotá/México/Santiago, 2009.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KALLER DE ORCHANSKY, Berta. </w:t>
      </w:r>
      <w:r>
        <w:rPr>
          <w:rFonts w:ascii="Arial" w:hAnsi="Arial" w:cs="Arial"/>
          <w:iCs/>
          <w:color w:val="000000"/>
          <w:sz w:val="20"/>
          <w:szCs w:val="20"/>
        </w:rPr>
        <w:t>Nuevo Manual de Derecho Internacional Privado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fr-FR"/>
        </w:rPr>
        <w:t>Buenos Aires. Plus Ultra. 1991.</w:t>
      </w: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br/>
        <w:t xml:space="preserve">LORENZETTI, Ricardo. Las normas fundamentales de derecho privado, Santa Fe, Rubinzal Culzoni, 1995. </w:t>
      </w:r>
    </w:p>
    <w:p w:rsidR="00E41602" w:rsidRPr="004C021E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NOODT TAQUELA, María B.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Derecho Internacional Privado. </w:t>
      </w:r>
      <w:r w:rsidRPr="004C021E">
        <w:rPr>
          <w:rFonts w:ascii="Arial" w:hAnsi="Arial" w:cs="Arial"/>
          <w:iCs/>
          <w:color w:val="000000"/>
          <w:sz w:val="20"/>
          <w:szCs w:val="20"/>
        </w:rPr>
        <w:t>Método de casos</w:t>
      </w:r>
      <w:r w:rsidRPr="004C021E">
        <w:rPr>
          <w:rFonts w:ascii="Arial" w:hAnsi="Arial" w:cs="Arial"/>
          <w:color w:val="000000"/>
          <w:sz w:val="20"/>
          <w:szCs w:val="20"/>
        </w:rPr>
        <w:t>. Buenos Aires. Astrea.1992.</w:t>
      </w:r>
    </w:p>
    <w:p w:rsidR="00E41602" w:rsidRPr="004C021E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41602" w:rsidRDefault="00E41602" w:rsidP="004C021E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4C021E">
        <w:rPr>
          <w:rFonts w:ascii="Arial" w:hAnsi="Arial" w:cs="Arial"/>
          <w:color w:val="000000"/>
          <w:sz w:val="20"/>
          <w:szCs w:val="20"/>
        </w:rPr>
        <w:t xml:space="preserve">URIONDO de MARTINOLI, Amalia (Directora) ZAVATTI de ROUGIER, Adriana (coordinadora). Estudios de jurisprudencia. Temas de Derecho Internacional Privado, Ed. Lerner, Córdoba, 2011. </w:t>
      </w:r>
      <w:r w:rsidRPr="004C021E">
        <w:rPr>
          <w:rFonts w:ascii="Arial" w:hAnsi="Arial" w:cs="Arial"/>
          <w:color w:val="000000"/>
          <w:sz w:val="20"/>
          <w:szCs w:val="20"/>
        </w:rPr>
        <w:br/>
      </w:r>
    </w:p>
    <w:p w:rsidR="00E41602" w:rsidRDefault="00E41602" w:rsidP="004C021E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WEINBERG, Inés. </w:t>
      </w:r>
      <w:r>
        <w:rPr>
          <w:rFonts w:ascii="Arial" w:hAnsi="Arial" w:cs="Arial"/>
          <w:iCs/>
          <w:color w:val="000000"/>
          <w:sz w:val="20"/>
          <w:szCs w:val="20"/>
        </w:rPr>
        <w:t>Derecho Internacional Privado</w:t>
      </w:r>
      <w:r>
        <w:rPr>
          <w:rFonts w:ascii="Arial" w:hAnsi="Arial" w:cs="Arial"/>
          <w:color w:val="000000"/>
          <w:sz w:val="20"/>
          <w:szCs w:val="20"/>
        </w:rPr>
        <w:t>. Buenos Aires. Abeledo Perrot,  Buenos Aires, 2011.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Páginas web: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7" w:tgtFrame="_blank" w:history="1">
        <w:r w:rsidR="00E41602">
          <w:rPr>
            <w:rStyle w:val="Hipervnculo"/>
            <w:rFonts w:cs="Arial"/>
            <w:sz w:val="20"/>
            <w:szCs w:val="20"/>
          </w:rPr>
          <w:t>http://www.oea.org</w:t>
        </w:r>
      </w:hyperlink>
      <w:r w:rsidR="00E41602">
        <w:rPr>
          <w:rFonts w:ascii="Arial" w:hAnsi="Arial" w:cs="Arial"/>
          <w:sz w:val="20"/>
          <w:szCs w:val="20"/>
        </w:rPr>
        <w:t> Organización de los Estados Americanos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it-IT"/>
        </w:rPr>
      </w:pPr>
      <w:hyperlink r:id="rId8" w:tgtFrame="_blank" w:history="1">
        <w:r w:rsidR="00E41602">
          <w:rPr>
            <w:rStyle w:val="Hipervnculo"/>
            <w:rFonts w:cs="Arial"/>
            <w:sz w:val="20"/>
            <w:szCs w:val="20"/>
            <w:lang w:val="it-IT"/>
          </w:rPr>
          <w:t>http://www.mercosur.org.uy</w:t>
        </w:r>
      </w:hyperlink>
      <w:r w:rsidR="00E41602">
        <w:rPr>
          <w:rFonts w:ascii="Arial" w:hAnsi="Arial" w:cs="Arial"/>
          <w:sz w:val="20"/>
          <w:szCs w:val="20"/>
          <w:lang w:val="it-IT"/>
        </w:rPr>
        <w:t> Secretaría Administrativa del MERCOSUR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es-ES"/>
        </w:rPr>
      </w:pPr>
      <w:hyperlink r:id="rId9" w:tgtFrame="_blank" w:history="1">
        <w:r w:rsidR="00E41602">
          <w:rPr>
            <w:rStyle w:val="Hipervnculo"/>
            <w:rFonts w:cs="Arial"/>
            <w:sz w:val="20"/>
            <w:szCs w:val="20"/>
          </w:rPr>
          <w:t>http://www.unctad.org</w:t>
        </w:r>
      </w:hyperlink>
      <w:r w:rsidR="00E41602">
        <w:rPr>
          <w:rFonts w:ascii="Arial" w:hAnsi="Arial" w:cs="Arial"/>
          <w:sz w:val="20"/>
          <w:szCs w:val="20"/>
        </w:rPr>
        <w:t> Conferencia de las Naciones Unidas sobre Comercio y Desarrollo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pt-BR"/>
        </w:rPr>
      </w:pPr>
      <w:hyperlink r:id="rId10" w:tgtFrame="_blank" w:history="1">
        <w:r w:rsidR="00E41602">
          <w:rPr>
            <w:rStyle w:val="Hipervnculo"/>
            <w:rFonts w:cs="Arial"/>
            <w:sz w:val="20"/>
            <w:szCs w:val="20"/>
            <w:lang w:val="pt-BR"/>
          </w:rPr>
          <w:t>http://www.icj-cij.org</w:t>
        </w:r>
      </w:hyperlink>
      <w:r w:rsidR="00E41602">
        <w:rPr>
          <w:rFonts w:ascii="Arial" w:hAnsi="Arial" w:cs="Arial"/>
          <w:sz w:val="20"/>
          <w:szCs w:val="20"/>
          <w:lang w:val="pt-BR"/>
        </w:rPr>
        <w:t> Corte Internacional de Justicia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es-ES"/>
        </w:rPr>
      </w:pPr>
      <w:hyperlink r:id="rId11" w:tgtFrame="_blank" w:history="1">
        <w:r w:rsidR="00E41602">
          <w:rPr>
            <w:rStyle w:val="Hipervnculo"/>
            <w:rFonts w:cs="Arial"/>
            <w:sz w:val="20"/>
            <w:szCs w:val="20"/>
          </w:rPr>
          <w:t>http://www.hagueacademy.nl</w:t>
        </w:r>
      </w:hyperlink>
      <w:r w:rsidR="00E41602">
        <w:rPr>
          <w:rFonts w:ascii="Arial" w:hAnsi="Arial" w:cs="Arial"/>
          <w:sz w:val="20"/>
          <w:szCs w:val="20"/>
        </w:rPr>
        <w:t> Academia de La Haya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12" w:tgtFrame="_blank" w:history="1">
        <w:r w:rsidR="00E41602">
          <w:rPr>
            <w:rStyle w:val="Hipervnculo"/>
            <w:rFonts w:cs="Arial"/>
            <w:sz w:val="20"/>
            <w:szCs w:val="20"/>
          </w:rPr>
          <w:t>http://www.ompi.org</w:t>
        </w:r>
      </w:hyperlink>
      <w:r w:rsidR="00E41602">
        <w:rPr>
          <w:rFonts w:ascii="Arial" w:hAnsi="Arial" w:cs="Arial"/>
          <w:sz w:val="20"/>
          <w:szCs w:val="20"/>
        </w:rPr>
        <w:t> Organización Mundial de la Propiedad Intelectual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13" w:tgtFrame="_blank" w:history="1">
        <w:r w:rsidR="00E41602">
          <w:rPr>
            <w:rStyle w:val="Hipervnculo"/>
            <w:rFonts w:cs="Arial"/>
            <w:sz w:val="20"/>
            <w:szCs w:val="20"/>
          </w:rPr>
          <w:t>http://www.wto.org</w:t>
        </w:r>
      </w:hyperlink>
      <w:r w:rsidR="00E41602">
        <w:rPr>
          <w:rFonts w:ascii="Arial" w:hAnsi="Arial" w:cs="Arial"/>
          <w:sz w:val="20"/>
          <w:szCs w:val="20"/>
        </w:rPr>
        <w:t> Organización Mundial del Comercio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14" w:tgtFrame="_blank" w:history="1">
        <w:r w:rsidR="00E41602">
          <w:rPr>
            <w:rStyle w:val="Hipervnculo"/>
            <w:rFonts w:cs="Arial"/>
            <w:sz w:val="20"/>
            <w:szCs w:val="20"/>
          </w:rPr>
          <w:t>http://www.europa.eu.int</w:t>
        </w:r>
      </w:hyperlink>
      <w:r w:rsidR="00E41602">
        <w:rPr>
          <w:rFonts w:ascii="Arial" w:hAnsi="Arial" w:cs="Arial"/>
          <w:sz w:val="20"/>
          <w:szCs w:val="20"/>
        </w:rPr>
        <w:t> Unión Europea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hyperlink r:id="rId15" w:history="1">
        <w:r w:rsidR="00E41602">
          <w:rPr>
            <w:rStyle w:val="Hipervnculo"/>
            <w:rFonts w:cs="Arial"/>
            <w:sz w:val="20"/>
            <w:szCs w:val="20"/>
          </w:rPr>
          <w:t>http://www.mrecic.gov.ar</w:t>
        </w:r>
      </w:hyperlink>
      <w:r w:rsidR="00E41602">
        <w:rPr>
          <w:rFonts w:ascii="Arial" w:hAnsi="Arial" w:cs="Arial"/>
          <w:sz w:val="20"/>
          <w:szCs w:val="20"/>
        </w:rPr>
        <w:t xml:space="preserve"> Cancillería – Argentina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pt-BR"/>
        </w:rPr>
      </w:pPr>
      <w:hyperlink r:id="rId16" w:history="1">
        <w:r w:rsidR="00E41602">
          <w:rPr>
            <w:rStyle w:val="Hipervnculo"/>
            <w:rFonts w:cs="Arial"/>
            <w:sz w:val="20"/>
            <w:szCs w:val="20"/>
            <w:lang w:val="pt-BR"/>
          </w:rPr>
          <w:t>http://www.mre.gov.br</w:t>
        </w:r>
      </w:hyperlink>
      <w:r w:rsidR="00E41602">
        <w:rPr>
          <w:rFonts w:ascii="Arial" w:hAnsi="Arial" w:cs="Arial"/>
          <w:sz w:val="20"/>
          <w:szCs w:val="20"/>
          <w:lang w:val="pt-BR"/>
        </w:rPr>
        <w:t> Cancillería – Brasil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pt-BR"/>
        </w:rPr>
      </w:pPr>
      <w:hyperlink r:id="rId17" w:tgtFrame="_blank" w:history="1">
        <w:r w:rsidR="00E41602">
          <w:rPr>
            <w:rStyle w:val="Hipervnculo"/>
            <w:rFonts w:cs="Arial"/>
            <w:sz w:val="20"/>
            <w:szCs w:val="20"/>
            <w:lang w:val="pt-BR"/>
          </w:rPr>
          <w:t>http://www.mre.gov.py</w:t>
        </w:r>
      </w:hyperlink>
      <w:r w:rsidR="00E41602">
        <w:rPr>
          <w:rFonts w:ascii="Arial" w:hAnsi="Arial" w:cs="Arial"/>
          <w:sz w:val="20"/>
          <w:szCs w:val="20"/>
          <w:lang w:val="pt-BR"/>
        </w:rPr>
        <w:t> Cancillería Paraguay</w:t>
      </w:r>
    </w:p>
    <w:p w:rsidR="00E41602" w:rsidRDefault="006955D3" w:rsidP="004C021E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  <w:lang w:val="pt-BR"/>
        </w:rPr>
      </w:pPr>
      <w:hyperlink r:id="rId18" w:tgtFrame="_blank" w:history="1">
        <w:r w:rsidR="00E41602">
          <w:rPr>
            <w:rStyle w:val="Hipervnculo"/>
            <w:rFonts w:cs="Arial"/>
            <w:sz w:val="20"/>
            <w:szCs w:val="20"/>
            <w:lang w:val="pt-BR"/>
          </w:rPr>
          <w:t>http://www.mrree.gub.uy</w:t>
        </w:r>
      </w:hyperlink>
      <w:r w:rsidR="00E41602">
        <w:rPr>
          <w:rFonts w:ascii="Arial" w:hAnsi="Arial" w:cs="Arial"/>
          <w:sz w:val="20"/>
          <w:szCs w:val="20"/>
          <w:lang w:val="pt-BR"/>
        </w:rPr>
        <w:t> Cancillería Uruguay</w:t>
      </w:r>
    </w:p>
    <w:p w:rsidR="00E41602" w:rsidRDefault="00E41602" w:rsidP="004C021E">
      <w:pPr>
        <w:spacing w:line="360" w:lineRule="auto"/>
        <w:rPr>
          <w:rFonts w:ascii="Verdana" w:hAnsi="Verdana" w:cs="Verdana"/>
          <w:sz w:val="18"/>
          <w:szCs w:val="18"/>
          <w:lang w:val="pt-BR"/>
        </w:rPr>
      </w:pPr>
    </w:p>
    <w:p w:rsidR="006B091F" w:rsidRPr="00DD5921" w:rsidRDefault="006B091F" w:rsidP="004C021E">
      <w:pPr>
        <w:spacing w:after="0" w:line="360" w:lineRule="auto"/>
        <w:rPr>
          <w:sz w:val="20"/>
          <w:szCs w:val="20"/>
        </w:rPr>
      </w:pPr>
    </w:p>
    <w:sectPr w:rsidR="006B091F" w:rsidRPr="00DD5921" w:rsidSect="004C021E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FE5"/>
    <w:multiLevelType w:val="hybridMultilevel"/>
    <w:tmpl w:val="98604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grammar="clean"/>
  <w:defaultTabStop w:val="708"/>
  <w:hyphenationZone w:val="425"/>
  <w:characterSpacingControl w:val="doNotCompress"/>
  <w:compat/>
  <w:rsids>
    <w:rsidRoot w:val="00796799"/>
    <w:rsid w:val="0006115F"/>
    <w:rsid w:val="000A3035"/>
    <w:rsid w:val="00110768"/>
    <w:rsid w:val="00176C69"/>
    <w:rsid w:val="001D316D"/>
    <w:rsid w:val="002440D4"/>
    <w:rsid w:val="00292629"/>
    <w:rsid w:val="0035113F"/>
    <w:rsid w:val="003738B3"/>
    <w:rsid w:val="003756F1"/>
    <w:rsid w:val="00415EAB"/>
    <w:rsid w:val="00432752"/>
    <w:rsid w:val="0045698C"/>
    <w:rsid w:val="00456FF8"/>
    <w:rsid w:val="004643AF"/>
    <w:rsid w:val="004C021E"/>
    <w:rsid w:val="005358CA"/>
    <w:rsid w:val="005E258D"/>
    <w:rsid w:val="006955D3"/>
    <w:rsid w:val="006B091F"/>
    <w:rsid w:val="006F5339"/>
    <w:rsid w:val="00762C8C"/>
    <w:rsid w:val="00796799"/>
    <w:rsid w:val="00834024"/>
    <w:rsid w:val="008817FA"/>
    <w:rsid w:val="00954F84"/>
    <w:rsid w:val="009806F7"/>
    <w:rsid w:val="009903F9"/>
    <w:rsid w:val="009D508A"/>
    <w:rsid w:val="00A25081"/>
    <w:rsid w:val="00A665AF"/>
    <w:rsid w:val="00AF2B54"/>
    <w:rsid w:val="00BB37A0"/>
    <w:rsid w:val="00C20457"/>
    <w:rsid w:val="00C44EE2"/>
    <w:rsid w:val="00C576BE"/>
    <w:rsid w:val="00C60D9A"/>
    <w:rsid w:val="00C70506"/>
    <w:rsid w:val="00C91199"/>
    <w:rsid w:val="00DA6AE5"/>
    <w:rsid w:val="00DD3776"/>
    <w:rsid w:val="00DD5921"/>
    <w:rsid w:val="00DF1DAF"/>
    <w:rsid w:val="00E41602"/>
    <w:rsid w:val="00E969F3"/>
    <w:rsid w:val="00F0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3F"/>
  </w:style>
  <w:style w:type="paragraph" w:styleId="Ttulo4">
    <w:name w:val="heading 4"/>
    <w:basedOn w:val="Normal"/>
    <w:link w:val="Ttulo4Car"/>
    <w:uiPriority w:val="9"/>
    <w:qFormat/>
    <w:rsid w:val="00796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96799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9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D377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41602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E41602"/>
  </w:style>
  <w:style w:type="paragraph" w:styleId="Textodeglobo">
    <w:name w:val="Balloon Text"/>
    <w:basedOn w:val="Normal"/>
    <w:link w:val="TextodegloboCar"/>
    <w:uiPriority w:val="99"/>
    <w:semiHidden/>
    <w:unhideWhenUsed/>
    <w:rsid w:val="004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96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96799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9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D377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41602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E41602"/>
  </w:style>
  <w:style w:type="paragraph" w:styleId="Textodeglobo">
    <w:name w:val="Balloon Text"/>
    <w:basedOn w:val="Normal"/>
    <w:link w:val="TextodegloboCar"/>
    <w:uiPriority w:val="99"/>
    <w:semiHidden/>
    <w:unhideWhenUsed/>
    <w:rsid w:val="004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osur.org.uy/" TargetMode="External"/><Relationship Id="rId13" Type="http://schemas.openxmlformats.org/officeDocument/2006/relationships/hyperlink" Target="http://www.wto.org/" TargetMode="External"/><Relationship Id="rId18" Type="http://schemas.openxmlformats.org/officeDocument/2006/relationships/hyperlink" Target="http://www.mrree.gub.uy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oea.org/" TargetMode="External"/><Relationship Id="rId12" Type="http://schemas.openxmlformats.org/officeDocument/2006/relationships/hyperlink" Target="http://www.ompi.org/" TargetMode="External"/><Relationship Id="rId17" Type="http://schemas.openxmlformats.org/officeDocument/2006/relationships/hyperlink" Target="http://www.mre.gov.p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e.gov.b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as.org/" TargetMode="External"/><Relationship Id="rId11" Type="http://schemas.openxmlformats.org/officeDocument/2006/relationships/hyperlink" Target="http://www.hagueacademy.nl/" TargetMode="External"/><Relationship Id="rId5" Type="http://schemas.openxmlformats.org/officeDocument/2006/relationships/hyperlink" Target="http://www.hcch.net/" TargetMode="External"/><Relationship Id="rId15" Type="http://schemas.openxmlformats.org/officeDocument/2006/relationships/hyperlink" Target="http://www.mrecic.gov.ar/" TargetMode="External"/><Relationship Id="rId10" Type="http://schemas.openxmlformats.org/officeDocument/2006/relationships/hyperlink" Target="http://www.icj-cij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ctad.org/" TargetMode="External"/><Relationship Id="rId14" Type="http://schemas.openxmlformats.org/officeDocument/2006/relationships/hyperlink" Target="http://www.europa.eu.in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Echegaray de Maussion</dc:creator>
  <cp:lastModifiedBy>Ignacio Verde</cp:lastModifiedBy>
  <cp:revision>10</cp:revision>
  <cp:lastPrinted>2017-09-21T14:04:00Z</cp:lastPrinted>
  <dcterms:created xsi:type="dcterms:W3CDTF">2016-06-06T13:46:00Z</dcterms:created>
  <dcterms:modified xsi:type="dcterms:W3CDTF">2020-08-10T12:16:00Z</dcterms:modified>
</cp:coreProperties>
</file>